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b/>
          <w:bCs/>
          <w:color w:val="D18E00"/>
          <w:sz w:val="17"/>
          <w:szCs w:val="17"/>
        </w:rPr>
        <w:t xml:space="preserve">MODÈLE À ADAPTER</w:t>
      </w:r>
    </w:p>
    <w:p>
      <w:pPr>
        <w:spacing w:after="200"/>
      </w:pPr>
      <w:r>
        <w:rPr>
          <w:b/>
          <w:bCs/>
          <w:color w:val="171A20"/>
          <w:sz w:val="40"/>
          <w:szCs w:val="40"/>
        </w:rPr>
        <w:t xml:space="preserve">Charte d’usage de l’intelligence artificielle</w:t>
      </w:r>
    </w:p>
    <w:p>
      <w:pPr>
        <w:spacing w:after="240"/>
      </w:pPr>
      <w:r>
        <w:rPr>
          <w:color w:val="475569"/>
          <w:sz w:val="24"/>
          <w:szCs w:val="24"/>
        </w:rPr>
        <w:t xml:space="preserve">Bureau d’études, contractant général, équipe de maîtrise d’œuvre</w:t>
      </w:r>
    </w:p>
    <w:p>
      <w:pPr>
        <w:pBdr>
          <w:bottom w:val="single" w:color="CBD5E1" w:sz="6" w:space="1"/>
        </w:pBdr>
        <w:spacing w:after="240" w:before="120"/>
      </w:pPr>
    </w:p>
    <w:p>
      <w:pPr>
        <w:spacing w:after="160" w:line="276"/>
      </w:pPr>
      <w:r>
        <w:t xml:space="preserve">Ce document est un modèle. Il n’a pas vocation à être adopté tel quel : c’est une base de discussion pour un groupe de travail interne, qui l’ajustera à ses pôles, à ses outils et à ses marchés. Remplacez le nom de l’entreprise, rayez ce qui ne vous concerne pas, ajoutez ce qui manque.</w:t>
      </w:r>
    </w:p>
    <w:p>
      <w:pPr>
        <w:spacing w:after="160" w:line="276"/>
      </w:pPr>
      <w:r>
        <w:rPr>
          <w:i/>
          <w:iCs/>
          <w:color w:val="475569"/>
          <w:sz w:val="19"/>
          <w:szCs w:val="19"/>
        </w:rPr>
        <w:t xml:space="preserve">Version du 25 août 2026. Proposée par Creastory Conseil, éditeur de batiment-ia.fr. Réutilisable et modifiable, y compris à titre commercial, sous réserve d’en citer l’origine (licence CC BY 4.0).</w:t>
      </w:r>
    </w:p>
    <w:p>
      <w:pPr>
        <w:pStyle w:val="Heading1"/>
        <w:spacing w:after="200" w:before="360"/>
      </w:pPr>
      <w:r>
        <w:rPr>
          <w:b/>
          <w:bCs/>
          <w:color w:val="171A20"/>
          <w:sz w:val="32"/>
          <w:szCs w:val="32"/>
        </w:rPr>
        <w:t xml:space="preserve">Ce que la charte couvre</w:t>
      </w:r>
    </w:p>
    <w:p>
      <w:pPr>
        <w:spacing w:after="160" w:line="276"/>
      </w:pPr>
      <w:r>
        <w:t xml:space="preserve">Toute personne travaillant pour le compte de l’entreprise : salariés, alternants, stagiaires, prestataires et sous-traitants.</w:t>
      </w:r>
    </w:p>
    <w:p>
      <w:pPr>
        <w:spacing w:after="160" w:line="276"/>
      </w:pPr>
      <w:r>
        <w:t xml:space="preserve">Tout outil d’intelligence artificielle générative, quel que soit son fournisseur, gratuit ou payant, utilisé sur un poste de travail ou sur un appareil personnel dans un cadre professionnel.</w:t>
      </w:r>
    </w:p>
    <w:p>
      <w:pPr>
        <w:pStyle w:val="Heading1"/>
        <w:spacing w:after="200" w:before="360"/>
      </w:pPr>
      <w:r>
        <w:rPr>
          <w:b/>
          <w:bCs/>
          <w:color w:val="171A20"/>
          <w:sz w:val="32"/>
          <w:szCs w:val="32"/>
        </w:rPr>
        <w:t xml:space="preserve">Les six règles</w:t>
      </w:r>
    </w:p>
    <w:p>
      <w:pPr>
        <w:spacing w:after="160" w:line="276"/>
      </w:pPr>
      <w:r>
        <w:rPr>
          <w:i/>
          <w:iCs/>
          <w:color w:val="475569"/>
        </w:rPr>
        <w:t xml:space="preserve">Chaque règle porte son énoncé, le fait qui la fonde, et le geste par lequel elle s’applique : qui fait quoi, dans quel document, à quel moment. Une règle sans geste ne bloque jamais rien, et personne ne s’aperçoit qu’elle n’est pas appliquée.</w:t>
      </w:r>
    </w:p>
    <w:p>
      <w:pPr>
        <w:spacing w:after="60" w:before="320"/>
      </w:pPr>
      <w:r>
        <w:rPr>
          <w:b/>
          <w:bCs/>
          <w:color w:val="D18E00"/>
          <w:sz w:val="17"/>
          <w:szCs w:val="17"/>
        </w:rPr>
        <w:t xml:space="preserve">RÈGLE 01</w:t>
      </w:r>
    </w:p>
    <w:p>
      <w:pPr>
        <w:pStyle w:val="Heading2"/>
        <w:spacing w:after="140" w:before="300"/>
      </w:pPr>
      <w:r>
        <w:rPr>
          <w:b/>
          <w:bCs/>
          <w:color w:val="171A20"/>
          <w:sz w:val="26"/>
          <w:szCs w:val="26"/>
        </w:rPr>
        <w:t xml:space="preserve">Aucun document client dans un outil non homologué</w:t>
      </w:r>
    </w:p>
    <w:p>
      <w:pPr>
        <w:spacing w:after="160" w:line="276"/>
      </w:pPr>
      <w:r>
        <w:t xml:space="preserve">DCE, CCTP, plans, notes de calcul, pièces de marché, relevés de comptage, coordonnées de maîtres d’ouvrage : rien de tout cela n’entre dans un outil qui n’est pas sur la liste. Les clauses de confidentialité des marchés s’appliquent aux outils d’IA comme au reste.</w:t>
      </w:r>
    </w:p>
    <w:p>
      <w:pPr>
        <w:spacing w:after="160" w:line="276"/>
      </w:pPr>
      <w:r>
        <w:rPr>
          <w:color w:val="475569"/>
        </w:rPr>
        <w:t xml:space="preserve">Un outil se juge sur ses conditions d’utilisation, pas sur son communiqué. En juillet 2026, trois éditeurs ont ouvert aux assistants IA les données de projet hébergées dans leurs outils, par le même mécanisme et en dix jours ; l’un des trois annonçait que les données sensibles ne quittent jamais le contrôle du client, quand l’article 8 des conditions du service indique que brancher un assistant revient à autoriser la mise à disposition de ces données au fournisseur du modèle. Chez Autodesk, le retrait de l’entraînement existe, mais il se règle fonction par fonction : « Turn Off » sur l’explorateur de plans de Forma, « No » sur AutoConstrain dans Fusion. Aucun interrupteur unique au niveau du compte ne couvre le sujet.</w:t>
      </w:r>
    </w:p>
    <w:p>
      <w:pPr>
        <w:pBdr>
          <w:left w:val="single" w:color="D18E00" w:sz="18" w:space="12"/>
        </w:pBdr>
        <w:spacing w:after="240" w:before="120" w:line="276"/>
        <w:ind w:left="340"/>
      </w:pPr>
      <w:r>
        <w:rPr>
          <w:b/>
          <w:bCs/>
          <w:color w:val="171A20"/>
        </w:rPr>
        <w:t xml:space="preserve">Le geste. </w:t>
      </w:r>
      <w:r>
        <w:t xml:space="preserve">Avant d’inscrire un outil sur la liste, quelqu’un ouvre ses conditions d’utilisation et note deux choses : ce que l’éditeur s’autorise à faire des documents déposés, et où se règle le retrait. Une ligne par outil, datée. La revue se refait à chaque changement de version majeure.</w:t>
      </w:r>
    </w:p>
    <w:p>
      <w:pPr>
        <w:spacing w:after="60" w:before="320"/>
      </w:pPr>
      <w:r>
        <w:rPr>
          <w:b/>
          <w:bCs/>
          <w:color w:val="D18E00"/>
          <w:sz w:val="17"/>
          <w:szCs w:val="17"/>
        </w:rPr>
        <w:t xml:space="preserve">RÈGLE 02</w:t>
      </w:r>
    </w:p>
    <w:p>
      <w:pPr>
        <w:pStyle w:val="Heading2"/>
        <w:spacing w:after="140" w:before="300"/>
      </w:pPr>
      <w:r>
        <w:rPr>
          <w:b/>
          <w:bCs/>
          <w:color w:val="171A20"/>
          <w:sz w:val="26"/>
          <w:szCs w:val="26"/>
        </w:rPr>
        <w:t xml:space="preserve">Qui signe reste responsable</w:t>
      </w:r>
    </w:p>
    <w:p>
      <w:pPr>
        <w:spacing w:after="160" w:line="276"/>
      </w:pPr>
      <w:r>
        <w:t xml:space="preserve">Une note de calcul, un mémoire technique, un avis réglementaire ou un compte rendu produit avec l’aide de l’IA reste signé par une personne qui l’a vérifié. L’outil est un assistant, jamais un auteur.</w:t>
      </w:r>
    </w:p>
    <w:p>
      <w:pPr>
        <w:spacing w:after="160" w:line="276"/>
      </w:pPr>
      <w:r>
        <w:rPr>
          <w:color w:val="475569"/>
        </w:rPr>
        <w:t xml:space="preserve">C’est la position que le Conseil national de l’Ordre des architectes a formalisée le 21 juillet 2026 : l’outil reste sous contrôle effectif du professionnel, qui demeure seul responsable de ses productions. Le rapport ne crée aucune règle nouvelle, il relit le code de déontologie à l’aune de l’IA, et il lit l’article 43, sur le respect des règles professionnelles par les salariés, comme imposant d’informer les collaborateurs des conditions d’usage. Un bureau d’études fluides ou CVC cotraitant d’une équipe de maîtrise d’œuvre n’a pas d’ordre professionnel pour écrire ce cadre à sa place : la question lui arrivera par l’architecte ou par le maître d’ouvrage.</w:t>
      </w:r>
    </w:p>
    <w:p>
      <w:pPr>
        <w:pBdr>
          <w:left w:val="single" w:color="D18E00" w:sz="18" w:space="12"/>
        </w:pBdr>
        <w:spacing w:after="240" w:before="120" w:line="276"/>
        <w:ind w:left="340"/>
      </w:pPr>
      <w:r>
        <w:rPr>
          <w:b/>
          <w:bCs/>
          <w:color w:val="171A20"/>
        </w:rPr>
        <w:t xml:space="preserve">Le geste. </w:t>
      </w:r>
      <w:r>
        <w:t xml:space="preserve">Le nom du vérificateur et la date de vérification figurent sur le livrable, au même endroit que sur un plan. C’est déjà l’usage sur un cartouche : il s’agit de l’étendre aux pièces écrites.</w:t>
      </w:r>
    </w:p>
    <w:p>
      <w:pPr>
        <w:spacing w:after="60" w:before="320"/>
      </w:pPr>
      <w:r>
        <w:rPr>
          <w:b/>
          <w:bCs/>
          <w:color w:val="D18E00"/>
          <w:sz w:val="17"/>
          <w:szCs w:val="17"/>
        </w:rPr>
        <w:t xml:space="preserve">RÈGLE 03</w:t>
      </w:r>
    </w:p>
    <w:p>
      <w:pPr>
        <w:pStyle w:val="Heading2"/>
        <w:spacing w:after="140" w:before="300"/>
      </w:pPr>
      <w:r>
        <w:rPr>
          <w:b/>
          <w:bCs/>
          <w:color w:val="171A20"/>
          <w:sz w:val="26"/>
          <w:szCs w:val="26"/>
        </w:rPr>
        <w:t xml:space="preserve">Jamais un chiffre réglementaire sans la source sous les yeux</w:t>
      </w:r>
    </w:p>
    <w:p>
      <w:pPr>
        <w:spacing w:after="160" w:line="276"/>
      </w:pPr>
      <w:r>
        <w:t xml:space="preserve">Toute exigence, tout seuil, toute référence normative issue d’un outil d’IA est retrouvée dans le texte avant d’entrer dans un livrable. Ces outils restituent une valeur périmée avec la même assurance qu’une valeur juste, et rien ne distingue visuellement les deux.</w:t>
      </w:r>
    </w:p>
    <w:p>
      <w:pPr>
        <w:spacing w:after="160" w:line="276"/>
      </w:pPr>
      <w:r>
        <w:rPr>
          <w:color w:val="475569"/>
        </w:rPr>
        <w:t xml:space="preserve">C’est la contrainte que nous nous imposons sur notre propre outil de pré-contrôle RE2020, publié sur batiment-ia.fr : il tourne sur un corpus fermé de 18 fiches du guide Cerema, et il cite la fiche à chaque réponse. Un thermicien qui reçoit un seuil sans sa référence doit refaire toute la recherche pour savoir s’il peut l’écrire, et il la refera au moment où il n’en a pas le temps.</w:t>
      </w:r>
    </w:p>
    <w:p>
      <w:pPr>
        <w:pBdr>
          <w:left w:val="single" w:color="D18E00" w:sz="18" w:space="12"/>
        </w:pBdr>
        <w:spacing w:after="240" w:before="120" w:line="276"/>
        <w:ind w:left="340"/>
      </w:pPr>
      <w:r>
        <w:rPr>
          <w:b/>
          <w:bCs/>
          <w:color w:val="171A20"/>
        </w:rPr>
        <w:t xml:space="preserve">Le geste. </w:t>
      </w:r>
      <w:r>
        <w:t xml:space="preserve">La référence complète est recopiée dans le livrable à côté du chiffre : texte, article, version et date. Elle ne reste pas dans l’historique de conversation, qui n’est pas une pièce du dossier et que personne ne rouvrira dans deux ans.</w:t>
      </w:r>
    </w:p>
    <w:p>
      <w:pPr>
        <w:spacing w:after="60" w:before="320"/>
      </w:pPr>
      <w:r>
        <w:rPr>
          <w:b/>
          <w:bCs/>
          <w:color w:val="D18E00"/>
          <w:sz w:val="17"/>
          <w:szCs w:val="17"/>
        </w:rPr>
        <w:t xml:space="preserve">RÈGLE 04</w:t>
      </w:r>
    </w:p>
    <w:p>
      <w:pPr>
        <w:pStyle w:val="Heading2"/>
        <w:spacing w:after="140" w:before="300"/>
      </w:pPr>
      <w:r>
        <w:rPr>
          <w:b/>
          <w:bCs/>
          <w:color w:val="171A20"/>
          <w:sz w:val="26"/>
          <w:szCs w:val="26"/>
        </w:rPr>
        <w:t xml:space="preserve">On sait ce qui a été assisté, et c’est un choix interne</w:t>
      </w:r>
    </w:p>
    <w:p>
      <w:pPr>
        <w:spacing w:after="160" w:line="276"/>
      </w:pPr>
      <w:r>
        <w:t xml:space="preserve">Les livrables où l’IA est intervenue de façon substantielle sont identifiés dans le suivi d’affaire. Deux raisons pratiques : pouvoir répondre à un maître d’ouvrage qui poserait la question, et pouvoir reprendre le dossier dans deux ans en sachant d’où vient quoi.</w:t>
      </w:r>
    </w:p>
    <w:p>
      <w:pPr>
        <w:spacing w:after="160" w:line="276"/>
      </w:pPr>
      <w:r>
        <w:rPr>
          <w:color w:val="475569"/>
        </w:rPr>
        <w:t xml:space="preserve">Aucune obligation réglementaire n’impose cette traçabilité. L’article 50 du règlement européen sur l’IA, applicable depuis le 2 août 2026, n’oblige ni un bureau d’études ni un contractant général à signaler qu’un mémoire technique ou un CCTP a été rédigé avec l’aide d’un outil. Ce qui la rend utile est ailleurs : un maître d’ouvrage peut poser la question en cours de marché, et un dossier repris deux ans plus tard par quelqu’un d’autre ne se relit pas de la même façon selon ce qu’on sait de sa fabrication.</w:t>
      </w:r>
    </w:p>
    <w:p>
      <w:pPr>
        <w:pBdr>
          <w:left w:val="single" w:color="D18E00" w:sz="18" w:space="12"/>
        </w:pBdr>
        <w:spacing w:after="240" w:before="120" w:line="276"/>
        <w:ind w:left="340"/>
      </w:pPr>
      <w:r>
        <w:rPr>
          <w:b/>
          <w:bCs/>
          <w:color w:val="171A20"/>
        </w:rPr>
        <w:t xml:space="preserve">Le geste. </w:t>
      </w:r>
      <w:r>
        <w:t xml:space="preserve">Une colonne dans le tableau de suivi d’affaire, trois valeurs et pas une de plus : « non », « aide à la rédaction », « extraction de données ». Renseignée par le rédacteur au moment où il enregistre la pièce, pas dans une revue mensuelle qui n’aura pas lieu.</w:t>
      </w:r>
    </w:p>
    <w:p>
      <w:pPr>
        <w:spacing w:after="60" w:before="320"/>
      </w:pPr>
      <w:r>
        <w:rPr>
          <w:b/>
          <w:bCs/>
          <w:color w:val="D18E00"/>
          <w:sz w:val="17"/>
          <w:szCs w:val="17"/>
        </w:rPr>
        <w:t xml:space="preserve">RÈGLE 05</w:t>
      </w:r>
    </w:p>
    <w:p>
      <w:pPr>
        <w:pStyle w:val="Heading2"/>
        <w:spacing w:after="140" w:before="300"/>
      </w:pPr>
      <w:r>
        <w:rPr>
          <w:b/>
          <w:bCs/>
          <w:color w:val="171A20"/>
          <w:sz w:val="26"/>
          <w:szCs w:val="26"/>
        </w:rPr>
        <w:t xml:space="preserve">Un nouvel outil passe par le référent avant d’entrer dans un dossier</w:t>
      </w:r>
    </w:p>
    <w:p>
      <w:pPr>
        <w:spacing w:after="160" w:line="276"/>
      </w:pPr>
      <w:r>
        <w:t xml:space="preserve">Chacun teste librement pour son compte. Dès qu’un outil touche une affaire, il est validé par le référent du pôle et inscrit sur la liste des outils homologués. La liste reste courte et vivante : une liste de trente outils n’est plus une liste.</w:t>
      </w:r>
    </w:p>
    <w:p>
      <w:pPr>
        <w:spacing w:after="160" w:line="276"/>
      </w:pPr>
      <w:r>
        <w:rPr>
          <w:color w:val="475569"/>
        </w:rPr>
        <w:t xml:space="preserve">Les trois questions à trancher avant le premier essai ne sont pas techniques, et c’est ce qui les rend faciles à sauter : qui a le droit d’enregistrer une application, quel modèle y est branché, et sur quel périmètre de projet. Un connecteur installé en dix minutes par un dessinateur curieux expose exactement ce que la règle 1 protège, et personne n’aura eu l’impression de contourner quoi que ce soit.</w:t>
      </w:r>
    </w:p>
    <w:p>
      <w:pPr>
        <w:pBdr>
          <w:left w:val="single" w:color="D18E00" w:sz="18" w:space="12"/>
        </w:pBdr>
        <w:spacing w:after="240" w:before="120" w:line="276"/>
        <w:ind w:left="340"/>
      </w:pPr>
      <w:r>
        <w:rPr>
          <w:b/>
          <w:bCs/>
          <w:color w:val="171A20"/>
        </w:rPr>
        <w:t xml:space="preserve">Le geste. </w:t>
      </w:r>
      <w:r>
        <w:t xml:space="preserve">La liste homologuée porte trois colonnes : l’outil, la date de validation, le niveau de relecture autorisé. Elle est affichée là où les gens travaillent, pas rangée dans un dossier qualité.</w:t>
      </w:r>
    </w:p>
    <w:p>
      <w:pPr>
        <w:spacing w:after="60" w:before="320"/>
      </w:pPr>
      <w:r>
        <w:rPr>
          <w:b/>
          <w:bCs/>
          <w:color w:val="D18E00"/>
          <w:sz w:val="17"/>
          <w:szCs w:val="17"/>
        </w:rPr>
        <w:t xml:space="preserve">RÈGLE 06</w:t>
      </w:r>
    </w:p>
    <w:p>
      <w:pPr>
        <w:pStyle w:val="Heading2"/>
        <w:spacing w:after="140" w:before="300"/>
      </w:pPr>
      <w:r>
        <w:rPr>
          <w:b/>
          <w:bCs/>
          <w:color w:val="171A20"/>
          <w:sz w:val="26"/>
          <w:szCs w:val="26"/>
        </w:rPr>
        <w:t xml:space="preserve">On garde la main</w:t>
      </w:r>
    </w:p>
    <w:p>
      <w:pPr>
        <w:spacing w:after="160" w:line="276"/>
      </w:pPr>
      <w:r>
        <w:t xml:space="preserve">Une compétence qu’on ne sait plus exercer sans l’outil n’est plus une compétence maîtrisée. L’usage prolongé d’un assistant sur une tâche technique érode la capacité à la faire, et surtout à juger si le résultat est bon. Cela vaut pour les profils les plus expérimentés.</w:t>
      </w:r>
    </w:p>
    <w:p>
      <w:pPr>
        <w:spacing w:after="160" w:line="276"/>
      </w:pPr>
      <w:r>
        <w:rPr>
          <w:color w:val="475569"/>
        </w:rPr>
        <w:t xml:space="preserve">Nous l’avons rencontré sur notre propre chaîne de rapprochement de devis. Un mécanisme de contrôle de complétude donnait deux alertes sur l’affaire de référence, dont une fausse ; passé sur une seconde trame, il en donnait six, dont zéro vraie. Le mécanisme n’avait pas changé, la matière si, et rien dans la sortie ne le signalait. C’est la contre-épreuve sur une seconde affaire qui l’a montré, et il faut savoir encore faire le contrôle à la main pour lire ce résultat. Nous en avons tiré la conséquence en août 2026 : ce contrôle est resté hors du périmètre annoncé de l’outil, qui ne promet que la partie déterministe, éprouvée sur dix-huit devis de trois affaires. C’est aussi ce que demande l’article 4 du règlement européen sur l’IA, applicable depuis le 2 février 2025, devenu depuis le règlement omnibus du 27 juillet 2026 une obligation de moyens : prendre des mesures pour développer la maîtrise de l’IA chez son personnel, sans avoir à garantir un niveau individuel.</w:t>
      </w:r>
    </w:p>
    <w:p>
      <w:pPr>
        <w:pBdr>
          <w:left w:val="single" w:color="D18E00" w:sz="18" w:space="12"/>
        </w:pBdr>
        <w:spacing w:after="240" w:before="120" w:line="276"/>
        <w:ind w:left="340"/>
      </w:pPr>
      <w:r>
        <w:rPr>
          <w:b/>
          <w:bCs/>
          <w:color w:val="171A20"/>
        </w:rPr>
        <w:t xml:space="preserve">Le geste. </w:t>
      </w:r>
      <w:r>
        <w:t xml:space="preserve">Une contre-épreuve par affaire : le même geste refait à la main sur un échantillon, et l’écart noté. Quinze minutes, et c’est la seule chose qui dise si l’outil tient encore sur la matière du jour.</w:t>
      </w:r>
    </w:p>
    <w:p>
      <w:r>
        <w:br w:type="page"/>
      </w:r>
    </w:p>
    <w:p>
      <w:pPr>
        <w:pStyle w:val="Heading1"/>
        <w:spacing w:after="200" w:before="360"/>
      </w:pPr>
      <w:r>
        <w:rPr>
          <w:b/>
          <w:bCs/>
          <w:color w:val="171A20"/>
          <w:sz w:val="32"/>
          <w:szCs w:val="32"/>
        </w:rPr>
        <w:t xml:space="preserve">Les trois niveaux de relecture</w:t>
      </w:r>
    </w:p>
    <w:p>
      <w:pPr>
        <w:spacing w:after="160" w:line="276"/>
      </w:pPr>
      <w:r>
        <w:t xml:space="preserve">Une charte qui interdit sans classer produit deux effets, et aucun des deux n’est celui qu’on cherche : soit tout devient sensible et plus rien n’est vérifié sérieusement, soit rien ne l’est. Le classement porte sur les tâches, jamais sur les outils : le même assistant peut relever du niveau 01 sur une note de réunion et du niveau 03 sur une note de calcul.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4460"/>
        <w:gridCol w:w="3000"/>
      </w:tblGrid>
      <w:tr>
        <w:trPr>
          <w:cantSplit/>
          <w:tblHeader/>
        </w:trPr>
        <w:tc>
          <w:tcPr>
            <w:tcW w:type="dxa" w:w="1900"/>
            <w:shd w:fill="171A20" w:color="auto" w:val="clear"/>
            <w:tcMar>
              <w:top w:type="dxa" w:w="120"/>
              <w:left w:type="dxa" w:w="140"/>
              <w:bottom w:type="dxa" w:w="120"/>
              <w:right w:type="dxa" w:w="140"/>
            </w:tcMar>
          </w:tcPr>
          <w:p>
            <w:pPr>
              <w:spacing w:after="0" w:line="260"/>
            </w:pPr>
            <w:r>
              <w:rPr>
                <w:b/>
                <w:bCs/>
                <w:color w:val="FFFFFF"/>
                <w:sz w:val="19"/>
                <w:szCs w:val="19"/>
              </w:rPr>
              <w:t xml:space="preserve">Niveau</w:t>
            </w:r>
          </w:p>
        </w:tc>
        <w:tc>
          <w:tcPr>
            <w:tcW w:type="dxa" w:w="4460"/>
            <w:shd w:fill="171A20" w:color="auto" w:val="clear"/>
            <w:tcMar>
              <w:top w:type="dxa" w:w="120"/>
              <w:left w:type="dxa" w:w="140"/>
              <w:bottom w:type="dxa" w:w="120"/>
              <w:right w:type="dxa" w:w="140"/>
            </w:tcMar>
          </w:tcPr>
          <w:p>
            <w:pPr>
              <w:spacing w:after="0" w:line="260"/>
            </w:pPr>
            <w:r>
              <w:rPr>
                <w:b/>
                <w:bCs/>
                <w:color w:val="FFFFFF"/>
                <w:sz w:val="19"/>
                <w:szCs w:val="19"/>
              </w:rPr>
              <w:t xml:space="preserve">Tâches concernées</w:t>
            </w:r>
          </w:p>
        </w:tc>
        <w:tc>
          <w:tcPr>
            <w:tcW w:type="dxa" w:w="3000"/>
            <w:shd w:fill="171A20" w:color="auto" w:val="clear"/>
            <w:tcMar>
              <w:top w:type="dxa" w:w="120"/>
              <w:left w:type="dxa" w:w="140"/>
              <w:bottom w:type="dxa" w:w="120"/>
              <w:right w:type="dxa" w:w="140"/>
            </w:tcMar>
          </w:tcPr>
          <w:p>
            <w:pPr>
              <w:spacing w:after="0" w:line="260"/>
            </w:pPr>
            <w:r>
              <w:rPr>
                <w:b/>
                <w:bCs/>
                <w:color w:val="FFFFFF"/>
                <w:sz w:val="19"/>
                <w:szCs w:val="19"/>
              </w:rPr>
              <w:t xml:space="preserve">Ce qu’on fait</w:t>
            </w:r>
          </w:p>
        </w:tc>
      </w:tr>
      <w:tr>
        <w:trPr>
          <w:cantSplit/>
        </w:trPr>
        <w:tc>
          <w:tcPr>
            <w:tcW w:type="dxa" w:w="1900"/>
            <w:tcMar>
              <w:top w:type="dxa" w:w="120"/>
              <w:left w:type="dxa" w:w="140"/>
              <w:bottom w:type="dxa" w:w="120"/>
              <w:right w:type="dxa" w:w="140"/>
            </w:tcMar>
          </w:tcPr>
          <w:p>
            <w:pPr>
              <w:spacing w:after="80" w:line="260"/>
            </w:pPr>
            <w:r>
              <w:rPr>
                <w:b/>
                <w:bCs/>
                <w:sz w:val="19"/>
                <w:szCs w:val="19"/>
              </w:rPr>
              <w:t xml:space="preserve">01</w:t>
            </w:r>
          </w:p>
          <w:p>
            <w:pPr>
              <w:spacing w:after="0" w:line="260"/>
            </w:pPr>
            <w:r>
              <w:rPr>
                <w:b/>
                <w:bCs/>
                <w:sz w:val="19"/>
                <w:szCs w:val="19"/>
              </w:rPr>
              <w:t xml:space="preserve">Relecture normale</w:t>
            </w:r>
          </w:p>
        </w:tc>
        <w:tc>
          <w:tcPr>
            <w:tcW w:type="dxa" w:w="4460"/>
            <w:tcMar>
              <w:top w:type="dxa" w:w="120"/>
              <w:left w:type="dxa" w:w="140"/>
              <w:bottom w:type="dxa" w:w="120"/>
              <w:right w:type="dxa" w:w="140"/>
            </w:tcMar>
          </w:tcPr>
          <w:p>
            <w:pPr>
              <w:spacing w:after="0" w:line="260"/>
            </w:pPr>
            <w:r>
              <w:rPr>
                <w:sz w:val="19"/>
                <w:szCs w:val="19"/>
              </w:rPr>
              <w:t xml:space="preserve">Reformulation et mise en forme. Synthèse d’un compte rendu de réunion. Traduction. Plan d’un document, aide au tableur. Recherche exploratoire.</w:t>
            </w:r>
          </w:p>
        </w:tc>
        <w:tc>
          <w:tcPr>
            <w:tcW w:type="dxa" w:w="3000"/>
            <w:tcMar>
              <w:top w:type="dxa" w:w="120"/>
              <w:left w:type="dxa" w:w="140"/>
              <w:bottom w:type="dxa" w:w="120"/>
              <w:right w:type="dxa" w:w="140"/>
            </w:tcMar>
          </w:tcPr>
          <w:p>
            <w:pPr>
              <w:spacing w:after="0" w:line="260"/>
            </w:pPr>
            <w:r>
              <w:rPr>
                <w:sz w:val="19"/>
                <w:szCs w:val="19"/>
              </w:rPr>
              <w:t xml:space="preserve">Ce que vous relisiez déjà, vous le relisez pareil.</w:t>
            </w:r>
          </w:p>
        </w:tc>
      </w:tr>
      <w:tr>
        <w:trPr>
          <w:cantSplit/>
        </w:trPr>
        <w:tc>
          <w:tcPr>
            <w:tcW w:type="dxa" w:w="1900"/>
            <w:shd w:fill="FFF8EB" w:color="auto" w:val="clear"/>
            <w:tcMar>
              <w:top w:type="dxa" w:w="120"/>
              <w:left w:type="dxa" w:w="140"/>
              <w:bottom w:type="dxa" w:w="120"/>
              <w:right w:type="dxa" w:w="140"/>
            </w:tcMar>
          </w:tcPr>
          <w:p>
            <w:pPr>
              <w:spacing w:after="80" w:line="260"/>
            </w:pPr>
            <w:r>
              <w:rPr>
                <w:b/>
                <w:bCs/>
                <w:sz w:val="19"/>
                <w:szCs w:val="19"/>
              </w:rPr>
              <w:t xml:space="preserve">02</w:t>
            </w:r>
          </w:p>
          <w:p>
            <w:pPr>
              <w:spacing w:after="0" w:line="260"/>
            </w:pPr>
            <w:r>
              <w:rPr>
                <w:b/>
                <w:bCs/>
                <w:sz w:val="19"/>
                <w:szCs w:val="19"/>
              </w:rPr>
              <w:t xml:space="preserve">Double relecture</w:t>
            </w:r>
          </w:p>
        </w:tc>
        <w:tc>
          <w:tcPr>
            <w:tcW w:type="dxa" w:w="4460"/>
            <w:shd w:fill="FFF8EB" w:color="auto" w:val="clear"/>
            <w:tcMar>
              <w:top w:type="dxa" w:w="120"/>
              <w:left w:type="dxa" w:w="140"/>
              <w:bottom w:type="dxa" w:w="120"/>
              <w:right w:type="dxa" w:w="140"/>
            </w:tcMar>
          </w:tcPr>
          <w:p>
            <w:pPr>
              <w:spacing w:after="0" w:line="260"/>
            </w:pPr>
            <w:r>
              <w:rPr>
                <w:sz w:val="19"/>
                <w:szCs w:val="19"/>
              </w:rPr>
              <w:t xml:space="preserve">Mémoire technique. Pré-analyse de DCE. Extraction de données d’un CCTP. Compte rendu de chantier. Courriers et relances.</w:t>
            </w:r>
          </w:p>
        </w:tc>
        <w:tc>
          <w:tcPr>
            <w:tcW w:type="dxa" w:w="3000"/>
            <w:shd w:fill="FFF8EB" w:color="auto" w:val="clear"/>
            <w:tcMar>
              <w:top w:type="dxa" w:w="120"/>
              <w:left w:type="dxa" w:w="140"/>
              <w:bottom w:type="dxa" w:w="120"/>
              <w:right w:type="dxa" w:w="140"/>
            </w:tcMar>
          </w:tcPr>
          <w:p>
            <w:pPr>
              <w:spacing w:after="0" w:line="260"/>
            </w:pPr>
            <w:r>
              <w:rPr>
                <w:sz w:val="19"/>
                <w:szCs w:val="19"/>
              </w:rPr>
              <w:t xml:space="preserve">Le rédacteur relit, le responsable d’affaire valide avant l’envoi.</w:t>
            </w:r>
          </w:p>
        </w:tc>
      </w:tr>
      <w:tr>
        <w:trPr>
          <w:cantSplit/>
        </w:trPr>
        <w:tc>
          <w:tcPr>
            <w:tcW w:type="dxa" w:w="1900"/>
            <w:shd w:fill="FDDF8A" w:color="auto" w:val="clear"/>
            <w:tcMar>
              <w:top w:type="dxa" w:w="120"/>
              <w:left w:type="dxa" w:w="140"/>
              <w:bottom w:type="dxa" w:w="120"/>
              <w:right w:type="dxa" w:w="140"/>
            </w:tcMar>
          </w:tcPr>
          <w:p>
            <w:pPr>
              <w:spacing w:after="80" w:line="260"/>
            </w:pPr>
            <w:r>
              <w:rPr>
                <w:b/>
                <w:bCs/>
                <w:sz w:val="19"/>
                <w:szCs w:val="19"/>
              </w:rPr>
              <w:t xml:space="preserve">03</w:t>
            </w:r>
          </w:p>
          <w:p>
            <w:pPr>
              <w:spacing w:after="0" w:line="260"/>
            </w:pPr>
            <w:r>
              <w:rPr>
                <w:b/>
                <w:bCs/>
                <w:sz w:val="19"/>
                <w:szCs w:val="19"/>
              </w:rPr>
              <w:t xml:space="preserve">Vérification à la source</w:t>
            </w:r>
          </w:p>
        </w:tc>
        <w:tc>
          <w:tcPr>
            <w:tcW w:type="dxa" w:w="4460"/>
            <w:shd w:fill="FDDF8A" w:color="auto" w:val="clear"/>
            <w:tcMar>
              <w:top w:type="dxa" w:w="120"/>
              <w:left w:type="dxa" w:w="140"/>
              <w:bottom w:type="dxa" w:w="120"/>
              <w:right w:type="dxa" w:w="140"/>
            </w:tcMar>
          </w:tcPr>
          <w:p>
            <w:pPr>
              <w:spacing w:after="0" w:line="260"/>
            </w:pPr>
            <w:r>
              <w:rPr>
                <w:sz w:val="19"/>
                <w:szCs w:val="19"/>
              </w:rPr>
              <w:t xml:space="preserve">Conformité réglementaire. Dimensionnement, note de calcul. Engagement contractuel. Ce qui relève de la décennale. Tout document client dans un outil non homologué.</w:t>
            </w:r>
          </w:p>
        </w:tc>
        <w:tc>
          <w:tcPr>
            <w:tcW w:type="dxa" w:w="3000"/>
            <w:shd w:fill="FDDF8A" w:color="auto" w:val="clear"/>
            <w:tcMar>
              <w:top w:type="dxa" w:w="120"/>
              <w:left w:type="dxa" w:w="140"/>
              <w:bottom w:type="dxa" w:w="120"/>
              <w:right w:type="dxa" w:w="140"/>
            </w:tcMar>
          </w:tcPr>
          <w:p>
            <w:pPr>
              <w:spacing w:after="0" w:line="260"/>
            </w:pPr>
            <w:r>
              <w:rPr>
                <w:sz w:val="19"/>
                <w:szCs w:val="19"/>
              </w:rPr>
              <w:t xml:space="preserve">Chaque chiffre retrouvé dans le texte d’origine, ou on s’abstient.</w:t>
            </w:r>
          </w:p>
        </w:tc>
      </w:tr>
    </w:tbl>
    <w:p>
      <w:pPr>
        <w:spacing w:after="160" w:before="200"/>
      </w:pPr>
      <w:r>
        <w:rPr>
          <w:b/>
          <w:bCs/>
        </w:rPr>
        <w:t xml:space="preserve">Plus la signature engage, plus la vérification est lourde. En cas de doute sur le niveau, c’est le plus haut qui s’applique.</w:t>
      </w:r>
    </w:p>
    <w:p>
      <w:pPr>
        <w:pStyle w:val="Heading1"/>
        <w:spacing w:after="200" w:before="360"/>
      </w:pPr>
      <w:r>
        <w:rPr>
          <w:b/>
          <w:bCs/>
          <w:color w:val="171A20"/>
          <w:sz w:val="32"/>
          <w:szCs w:val="32"/>
        </w:rPr>
        <w:t xml:space="preserve">Mettre la charte en place</w:t>
      </w:r>
    </w:p>
    <w:p>
      <w:pPr>
        <w:spacing w:after="160" w:line="276"/>
      </w:pPr>
      <w:r>
        <w:t xml:space="preserve">Huit étapes, dans cet ordre. Les deux premières prennent une réunion à elles deux, et ce sont elles qui décident de la valeur de tout le reste.</w:t>
      </w:r>
    </w:p>
    <w:p>
      <w:pPr>
        <w:spacing w:after="60" w:before="200"/>
      </w:pPr>
      <w:r>
        <w:rPr>
          <w:b/>
          <w:bCs/>
          <w:color w:val="D18E00"/>
        </w:rPr>
        <w:t xml:space="preserve">01  </w:t>
      </w:r>
      <w:r>
        <w:rPr>
          <w:b/>
          <w:bCs/>
          <w:color w:val="171A20"/>
        </w:rPr>
        <w:t xml:space="preserve">Nommer un référent par pôle, pas un référent unique</w:t>
      </w:r>
    </w:p>
    <w:p>
      <w:pPr>
        <w:spacing w:after="120" w:line="276"/>
        <w:ind w:left="340"/>
      </w:pPr>
      <w:r>
        <w:t xml:space="preserve">Dans une structure de cent personnes répartie sur plusieurs sites, un référent central devient un goulot d’étranglement en trois semaines.</w:t>
      </w:r>
    </w:p>
    <w:p>
      <w:pPr>
        <w:spacing w:after="60" w:before="200"/>
      </w:pPr>
      <w:r>
        <w:rPr>
          <w:b/>
          <w:bCs/>
          <w:color w:val="D18E00"/>
        </w:rPr>
        <w:t xml:space="preserve">02  </w:t>
      </w:r>
      <w:r>
        <w:rPr>
          <w:b/>
          <w:bCs/>
          <w:color w:val="171A20"/>
        </w:rPr>
        <w:t xml:space="preserve">Recenser les outils réellement utilisés</w:t>
      </w:r>
    </w:p>
    <w:p>
      <w:pPr>
        <w:spacing w:after="120" w:line="276"/>
        <w:ind w:left="340"/>
      </w:pPr>
      <w:r>
        <w:t xml:space="preserve">Y compris les usages informels et les comptes personnels. L’inventaire réel est toujours plus large que l’inventaire déclaré, et ce n’est pas un sujet disciplinaire : c’est le point de départ.</w:t>
      </w:r>
    </w:p>
    <w:p>
      <w:pPr>
        <w:spacing w:after="60" w:before="200"/>
      </w:pPr>
      <w:r>
        <w:rPr>
          <w:b/>
          <w:bCs/>
          <w:color w:val="D18E00"/>
        </w:rPr>
        <w:t xml:space="preserve">03  </w:t>
      </w:r>
      <w:r>
        <w:rPr>
          <w:b/>
          <w:bCs/>
          <w:color w:val="171A20"/>
        </w:rPr>
        <w:t xml:space="preserve">Arrêter la liste des outils homologués</w:t>
      </w:r>
    </w:p>
    <w:p>
      <w:pPr>
        <w:spacing w:after="120" w:line="276"/>
        <w:ind w:left="340"/>
      </w:pPr>
      <w:r>
        <w:t xml:space="preserve">Courte, datée, révisable, et affichée là où les gens travaillent.</w:t>
      </w:r>
    </w:p>
    <w:p>
      <w:pPr>
        <w:spacing w:after="60" w:before="200"/>
      </w:pPr>
      <w:r>
        <w:rPr>
          <w:b/>
          <w:bCs/>
          <w:color w:val="D18E00"/>
        </w:rPr>
        <w:t xml:space="preserve">04  </w:t>
      </w:r>
      <w:r>
        <w:rPr>
          <w:b/>
          <w:bCs/>
          <w:color w:val="171A20"/>
        </w:rPr>
        <w:t xml:space="preserve">Classer les tâches par niveau de relecture, pôle par pôle</w:t>
      </w:r>
    </w:p>
    <w:p>
      <w:pPr>
        <w:spacing w:after="120" w:line="276"/>
        <w:ind w:left="340"/>
      </w:pPr>
      <w:r>
        <w:t xml:space="preserve">En partant des tâches réelles de la semaine écoulée, pas de catégories abstraites. C’est l’exercice qui fait apparaître les désaccords, et c’est pour ça qu’il vaut le coup.</w:t>
      </w:r>
    </w:p>
    <w:p>
      <w:pPr>
        <w:spacing w:after="60" w:before="200"/>
      </w:pPr>
      <w:r>
        <w:rPr>
          <w:b/>
          <w:bCs/>
          <w:color w:val="D18E00"/>
        </w:rPr>
        <w:t xml:space="preserve">05  </w:t>
      </w:r>
      <w:r>
        <w:rPr>
          <w:b/>
          <w:bCs/>
          <w:color w:val="171A20"/>
        </w:rPr>
        <w:t xml:space="preserve">Écrire la règle sur les données client, la diffuser, l’expliquer</w:t>
      </w:r>
    </w:p>
    <w:p>
      <w:pPr>
        <w:spacing w:after="120" w:line="276"/>
        <w:ind w:left="340"/>
      </w:pPr>
      <w:r>
        <w:t xml:space="preserve">Une règle comprise est suivie. Une règle affichée est contournée.</w:t>
      </w:r>
    </w:p>
    <w:p>
      <w:pPr>
        <w:spacing w:after="60" w:before="200"/>
      </w:pPr>
      <w:r>
        <w:rPr>
          <w:b/>
          <w:bCs/>
          <w:color w:val="D18E00"/>
        </w:rPr>
        <w:t xml:space="preserve">06  </w:t>
      </w:r>
      <w:r>
        <w:rPr>
          <w:b/>
          <w:bCs/>
          <w:color w:val="171A20"/>
        </w:rPr>
        <w:t xml:space="preserve">Former avant de déployer, et garder la trace de la formation</w:t>
      </w:r>
    </w:p>
    <w:p>
      <w:pPr>
        <w:spacing w:after="120" w:line="276"/>
        <w:ind w:left="340"/>
      </w:pPr>
      <w:r>
        <w:t xml:space="preserve">Le principal facteur de mauvais usage n’est pas la mauvaise volonté, c’est l’ignorance des limites de l’outil. Depuis l’article 4 du règlement européen, la trace de ces mesures est aussi la pièce qui documente une obligation de moyens.</w:t>
      </w:r>
    </w:p>
    <w:p>
      <w:pPr>
        <w:spacing w:after="60" w:before="200"/>
      </w:pPr>
      <w:r>
        <w:rPr>
          <w:b/>
          <w:bCs/>
          <w:color w:val="D18E00"/>
        </w:rPr>
        <w:t xml:space="preserve">07  </w:t>
      </w:r>
      <w:r>
        <w:rPr>
          <w:b/>
          <w:bCs/>
          <w:color w:val="171A20"/>
        </w:rPr>
        <w:t xml:space="preserve">Ouvrir un canal de signalement simple</w:t>
      </w:r>
    </w:p>
    <w:p>
      <w:pPr>
        <w:spacing w:after="120" w:line="276"/>
        <w:ind w:left="340"/>
      </w:pPr>
      <w:r>
        <w:t xml:space="preserve">Une erreur repérée, un doute, une donnée partie où elle n’aurait pas dû. Sans sanction, sinon plus personne ne signale et vous perdez le seul capteur dont vous disposez.</w:t>
      </w:r>
    </w:p>
    <w:p>
      <w:pPr>
        <w:spacing w:after="60" w:before="200"/>
      </w:pPr>
      <w:r>
        <w:rPr>
          <w:b/>
          <w:bCs/>
          <w:color w:val="D18E00"/>
        </w:rPr>
        <w:t xml:space="preserve">08  </w:t>
      </w:r>
      <w:r>
        <w:rPr>
          <w:b/>
          <w:bCs/>
          <w:color w:val="171A20"/>
        </w:rPr>
        <w:t xml:space="preserve">Réexaminer la charte une fois par an</w:t>
      </w:r>
    </w:p>
    <w:p>
      <w:pPr>
        <w:spacing w:after="120" w:line="276"/>
        <w:ind w:left="340"/>
      </w:pPr>
      <w:r>
        <w:t xml:space="preserve">Ou à chaque évolution réglementaire importante. Trois échéances du règlement européen tombent entre 2026 et 2028, et vos outils changeront plus vite qu’elles.</w:t>
      </w:r>
    </w:p>
    <w:p>
      <w:pPr>
        <w:pStyle w:val="Heading1"/>
        <w:spacing w:after="200" w:before="360"/>
      </w:pPr>
      <w:r>
        <w:rPr>
          <w:b/>
          <w:bCs/>
          <w:color w:val="171A20"/>
          <w:sz w:val="32"/>
          <w:szCs w:val="32"/>
        </w:rPr>
        <w:t xml:space="preserve">Où en est le règlement européen, au 25 août 2026</w:t>
      </w:r>
    </w:p>
    <w:p>
      <w:pPr>
        <w:spacing w:after="160" w:line="276"/>
      </w:pPr>
      <w:r>
        <w:t xml:space="preserve">Trois dates suffisent à situer une entreprise du bâtiment, et la première surprend souvent.</w:t>
      </w:r>
    </w:p>
    <w:p>
      <w:pPr>
        <w:pStyle w:val="ListParagraph"/>
        <w:numPr>
          <w:ilvl w:val="0"/>
          <w:numId w:val="2"/>
        </w:numPr>
        <w:spacing w:after="100" w:line="276"/>
      </w:pPr>
      <w:r>
        <w:t xml:space="preserve">2 février 2025, l’obligation de maîtrise de l’IA. L’article 4 impose de prendre des mesures pour développer la maîtrise de l’IA chez son personnel. Le règlement omnibus, entré en vigueur le 27 juillet 2026, en a fait une obligation de moyens : il faut des mesures et leur trace, pas un niveau individuel garanti.</w:t>
      </w:r>
    </w:p>
    <w:p>
      <w:pPr>
        <w:pStyle w:val="ListParagraph"/>
        <w:numPr>
          <w:ilvl w:val="0"/>
          <w:numId w:val="2"/>
        </w:numPr>
        <w:spacing w:after="100" w:line="276"/>
      </w:pPr>
      <w:r>
        <w:t xml:space="preserve">2 août 2026, la transparence, qui vise les éditeurs et pas leurs clients. L’article 50 est applicable : les sorties des assistants doivent porter une marque lisible par une machine, avec un report au 2 décembre 2026 pour les systèmes déjà sur le marché. C’est l’obligation utile à connaître quand vous négociez un contrat de licence.</w:t>
      </w:r>
    </w:p>
    <w:p>
      <w:pPr>
        <w:pStyle w:val="ListParagraph"/>
        <w:numPr>
          <w:ilvl w:val="0"/>
          <w:numId w:val="2"/>
        </w:numPr>
        <w:spacing w:after="100" w:line="276"/>
      </w:pPr>
      <w:r>
        <w:t xml:space="preserve">2 décembre 2027 et 2 août 2028, le haut risque. Les exigences applicables aux systèmes à haut risque ont été reportées par le règlement omnibus. Elles concernent d’abord vos éditeurs, et elles vous reviendront par leurs contrats.</w:t>
      </w:r>
    </w:p>
    <w:p>
      <w:pPr>
        <w:spacing w:after="160" w:line="276"/>
      </w:pPr>
      <w:r>
        <w:t xml:space="preserve">Rien de tout cela ne modifie la règle 2. La responsabilité reste celle de la personne qui signe, et c’est aussi la position formalisée par le Conseil national de l’Ordre des architectes le 21 juillet 2026.</w:t>
      </w:r>
    </w:p>
    <w:p>
      <w:pPr>
        <w:pStyle w:val="Heading1"/>
        <w:spacing w:after="200" w:before="360"/>
      </w:pPr>
      <w:r>
        <w:rPr>
          <w:b/>
          <w:bCs/>
          <w:color w:val="171A20"/>
          <w:sz w:val="32"/>
          <w:szCs w:val="32"/>
        </w:rPr>
        <w:t xml:space="preserve">D’où viennent les faits cités</w:t>
      </w:r>
    </w:p>
    <w:p>
      <w:pPr>
        <w:spacing w:after="160" w:line="276"/>
      </w:pPr>
      <w:r>
        <w:t xml:space="preserve">Chaque fait de ce document est daté et sourcé dans un contenu publié sur batiment-ia.fr, qui porte les liens vers les sources primaires.</w:t>
      </w:r>
    </w:p>
    <w:p>
      <w:pPr>
        <w:pStyle w:val="ListParagraph"/>
        <w:numPr>
          <w:ilvl w:val="0"/>
          <w:numId w:val="2"/>
        </w:numPr>
        <w:spacing w:after="100" w:line="276"/>
      </w:pPr>
      <w:r>
        <w:t xml:space="preserve">Règles 1 et 5 : « Trois éditeurs en dix jours, et la question de qui répond d’une erreur », batiment-ia.fr/dossiers/mcp-batiment-donnees-projet-assistants-ia/</w:t>
      </w:r>
    </w:p>
    <w:p>
      <w:pPr>
        <w:pStyle w:val="ListParagraph"/>
        <w:numPr>
          <w:ilvl w:val="0"/>
          <w:numId w:val="2"/>
        </w:numPr>
        <w:spacing w:after="100" w:line="276"/>
      </w:pPr>
      <w:r>
        <w:t xml:space="preserve">Règle 1 : « Autodesk s’entraîne sur vos données de conception : où se trouve le retrait », batiment-ia.fr/actualites/autodesk-neural-cad-donnees-clients-retrait/</w:t>
      </w:r>
    </w:p>
    <w:p>
      <w:pPr>
        <w:pStyle w:val="ListParagraph"/>
        <w:numPr>
          <w:ilvl w:val="0"/>
          <w:numId w:val="2"/>
        </w:numPr>
        <w:spacing w:after="100" w:line="276"/>
      </w:pPr>
      <w:r>
        <w:t xml:space="preserve">Règle 2 : « L’Ordre des architectes exclut tout transfert de responsabilité vers l’IA », batiment-ia.fr/dossiers/cnoa-ia-deontologie-architectes-responsabilite/</w:t>
      </w:r>
    </w:p>
    <w:p>
      <w:pPr>
        <w:pStyle w:val="ListParagraph"/>
        <w:numPr>
          <w:ilvl w:val="0"/>
          <w:numId w:val="2"/>
        </w:numPr>
        <w:spacing w:after="100" w:line="276"/>
      </w:pPr>
      <w:r>
        <w:t xml:space="preserve">Règle 3 : pré-contrôle RE2020, corpus de 18 fiches du guide Cerema, batiment-ia.fr/outils/pre-controle-re2020/</w:t>
      </w:r>
    </w:p>
    <w:p>
      <w:pPr>
        <w:pStyle w:val="ListParagraph"/>
        <w:numPr>
          <w:ilvl w:val="0"/>
          <w:numId w:val="2"/>
        </w:numPr>
        <w:spacing w:after="100" w:line="276"/>
      </w:pPr>
      <w:r>
        <w:t xml:space="preserve">Règle 4 et cadre réglementaire : « Votre mémoire technique rédigé avec l’IA n’a pas à porter d’étiquette », batiment-ia.fr/actualites/reglement-ia-article-50-memoire-technique-etiquette/</w:t>
      </w:r>
    </w:p>
    <w:p>
      <w:pPr>
        <w:pStyle w:val="ListParagraph"/>
        <w:numPr>
          <w:ilvl w:val="0"/>
          <w:numId w:val="2"/>
        </w:numPr>
        <w:spacing w:after="100" w:line="276"/>
      </w:pPr>
      <w:r>
        <w:t xml:space="preserve">Règle 6 et cadre réglementaire : « Les règles haut risque reculent à 2027 ou 2028, la transparence tient bon », batiment-ia.fr/actualites/omnibus-ia-haut-risque-optimisation-calendrier/</w:t>
      </w:r>
    </w:p>
    <w:p>
      <w:pPr>
        <w:spacing w:after="160" w:line="276"/>
      </w:pPr>
      <w:r>
        <w:rPr>
          <w:color w:val="475569"/>
          <w:sz w:val="19"/>
          <w:szCs w:val="19"/>
        </w:rPr>
        <w:t xml:space="preserve">Le constat de la règle 6 sur la contre-épreuve vient de notre chaîne de rapprochement de devis, sur une affaire d’aménagement tertiaire, et il a été établi par notre audit interne du 14 août 2026.</w:t>
      </w:r>
    </w:p>
    <w:p>
      <w:pPr>
        <w:pBdr>
          <w:bottom w:val="single" w:color="CBD5E1" w:sz="6" w:space="1"/>
        </w:pBdr>
        <w:spacing w:after="240" w:before="120"/>
      </w:pPr>
    </w:p>
    <w:p>
      <w:pPr>
        <w:spacing w:after="160" w:line="276"/>
      </w:pPr>
      <w:r>
        <w:rPr>
          <w:color w:val="475569"/>
          <w:sz w:val="19"/>
          <w:szCs w:val="19"/>
        </w:rPr>
        <w:t xml:space="preserve">Creastory Conseil, éditeur de batiment-ia.fr, accompagne des bureaux d’études et des contractants sur exactement ce que décrit la feuille de route ci-dessus. Un groupe de travail interne mène ce chantier très bien seul, et c’est même la seule façon d’y arriver : une charte ne vaut que rapportée à vos tâches réelles, qu’un tiers ne connaît pas.</w:t>
      </w:r>
    </w:p>
    <w:p>
      <w:pPr>
        <w:spacing w:after="160" w:line="276"/>
      </w:pPr>
      <w:r>
        <w:rPr>
          <w:color w:val="475569"/>
          <w:sz w:val="19"/>
          <w:szCs w:val="19"/>
        </w:rPr>
        <w:t xml:space="preserve">La version à jour de ce document : batiment-ia.fr/ressources/charte-usage-ia-bureau-etudes/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d’usage de l’IA en bureau d’études</dc:title>
  <dc:creator>Creastory Conseil</dc:creator>
  <dc:description>Modèle de charte d’usage de l’intelligence artificielle, à adapter. Version du 25 août 2026, proposée par Creastory Conseil (batiment-ia.fr).</dc:description>
  <cp:lastModifiedBy>Un-named</cp:lastModifiedBy>
  <cp:revision>1</cp:revision>
  <dcterms:created xsi:type="dcterms:W3CDTF">2026-08-25T13:43:37.779Z</dcterms:created>
  <dcterms:modified xsi:type="dcterms:W3CDTF">2026-08-25T13:43:37.789Z</dcterms:modified>
</cp:coreProperties>
</file>

<file path=docProps/custom.xml><?xml version="1.0" encoding="utf-8"?>
<Properties xmlns="http://schemas.openxmlformats.org/officeDocument/2006/custom-properties" xmlns:vt="http://schemas.openxmlformats.org/officeDocument/2006/docPropsVTypes"/>
</file>